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1D04" w14:textId="77777777" w:rsidR="0055110B" w:rsidRPr="0055110B" w:rsidRDefault="0055110B" w:rsidP="0055110B">
      <w:pPr>
        <w:shd w:val="clear" w:color="auto" w:fill="FFFFFF"/>
        <w:spacing w:after="158"/>
        <w:rPr>
          <w:rFonts w:ascii="Times" w:eastAsia="Times New Roman" w:hAnsi="Times" w:cs="Times New Roman"/>
          <w:b/>
          <w:bCs/>
          <w:color w:val="D9855B"/>
          <w:sz w:val="23"/>
          <w:szCs w:val="23"/>
        </w:rPr>
      </w:pPr>
      <w:r w:rsidRPr="0055110B">
        <w:rPr>
          <w:rFonts w:ascii="Times" w:eastAsia="Times New Roman" w:hAnsi="Times" w:cs="Times New Roman"/>
          <w:b/>
          <w:bCs/>
          <w:color w:val="D9855B"/>
          <w:sz w:val="23"/>
          <w:szCs w:val="23"/>
        </w:rPr>
        <w:t>[Date]</w:t>
      </w:r>
      <w:r w:rsidRPr="0055110B">
        <w:rPr>
          <w:rFonts w:ascii="Times" w:eastAsia="Times New Roman" w:hAnsi="Times" w:cs="Times New Roman"/>
          <w:b/>
          <w:bCs/>
          <w:color w:val="D9855B"/>
          <w:sz w:val="23"/>
          <w:szCs w:val="23"/>
        </w:rPr>
        <w:br/>
      </w:r>
      <w:r w:rsidRPr="0055110B">
        <w:rPr>
          <w:rFonts w:ascii="Times" w:eastAsia="Times New Roman" w:hAnsi="Times" w:cs="Times New Roman"/>
          <w:b/>
          <w:bCs/>
          <w:color w:val="D9855B"/>
          <w:sz w:val="23"/>
          <w:szCs w:val="23"/>
        </w:rPr>
        <w:br/>
        <w:t>[Your Name]</w:t>
      </w:r>
      <w:r w:rsidRPr="0055110B">
        <w:rPr>
          <w:rFonts w:ascii="Times" w:eastAsia="Times New Roman" w:hAnsi="Times" w:cs="Times New Roman"/>
          <w:b/>
          <w:bCs/>
          <w:color w:val="D9855B"/>
          <w:sz w:val="23"/>
          <w:szCs w:val="23"/>
        </w:rPr>
        <w:br/>
        <w:t>[Your Address]</w:t>
      </w:r>
      <w:r w:rsidRPr="0055110B">
        <w:rPr>
          <w:rFonts w:ascii="Times" w:eastAsia="Times New Roman" w:hAnsi="Times" w:cs="Times New Roman"/>
          <w:b/>
          <w:bCs/>
          <w:color w:val="D9855B"/>
          <w:sz w:val="23"/>
          <w:szCs w:val="23"/>
        </w:rPr>
        <w:br/>
        <w:t>[Your City, State, Zip Code]</w:t>
      </w:r>
    </w:p>
    <w:p w14:paraId="4A4A1B50" w14:textId="77777777" w:rsidR="0055110B" w:rsidRPr="0055110B" w:rsidRDefault="0055110B" w:rsidP="0055110B">
      <w:pPr>
        <w:shd w:val="clear" w:color="auto" w:fill="FFFFFF"/>
        <w:spacing w:after="158"/>
        <w:rPr>
          <w:rFonts w:ascii="Times" w:eastAsia="Times New Roman" w:hAnsi="Times" w:cs="Times New Roman"/>
          <w:b/>
          <w:bCs/>
          <w:color w:val="D9855B"/>
          <w:sz w:val="23"/>
          <w:szCs w:val="23"/>
        </w:rPr>
      </w:pPr>
      <w:r w:rsidRPr="0055110B">
        <w:rPr>
          <w:rFonts w:ascii="Times" w:eastAsia="Times New Roman" w:hAnsi="Times" w:cs="Times New Roman"/>
          <w:b/>
          <w:bCs/>
          <w:color w:val="D9855B"/>
          <w:sz w:val="23"/>
          <w:szCs w:val="23"/>
        </w:rPr>
        <w:t>[Name of Credit Collection Company]</w:t>
      </w:r>
      <w:r w:rsidRPr="0055110B">
        <w:rPr>
          <w:rFonts w:ascii="Times" w:eastAsia="Times New Roman" w:hAnsi="Times" w:cs="Times New Roman"/>
          <w:b/>
          <w:bCs/>
          <w:color w:val="D9855B"/>
          <w:sz w:val="23"/>
          <w:szCs w:val="23"/>
        </w:rPr>
        <w:br/>
        <w:t>[Company Address]</w:t>
      </w:r>
      <w:r w:rsidRPr="0055110B">
        <w:rPr>
          <w:rFonts w:ascii="Times" w:eastAsia="Times New Roman" w:hAnsi="Times" w:cs="Times New Roman"/>
          <w:b/>
          <w:bCs/>
          <w:color w:val="D9855B"/>
          <w:sz w:val="23"/>
          <w:szCs w:val="23"/>
        </w:rPr>
        <w:br/>
        <w:t>[City, State, Zip Code]</w:t>
      </w:r>
    </w:p>
    <w:p w14:paraId="1806A561" w14:textId="77777777" w:rsidR="0055110B" w:rsidRPr="0055110B" w:rsidRDefault="0055110B" w:rsidP="0055110B">
      <w:pPr>
        <w:shd w:val="clear" w:color="auto" w:fill="FFFFFF"/>
        <w:spacing w:after="158"/>
        <w:rPr>
          <w:rFonts w:ascii="Times" w:eastAsia="Times New Roman" w:hAnsi="Times" w:cs="Times New Roman"/>
          <w:b/>
          <w:bCs/>
          <w:color w:val="D9855B"/>
          <w:sz w:val="23"/>
          <w:szCs w:val="23"/>
        </w:rPr>
      </w:pPr>
      <w:r w:rsidRPr="0055110B">
        <w:rPr>
          <w:rFonts w:ascii="Times" w:eastAsia="Times New Roman" w:hAnsi="Times" w:cs="Times New Roman"/>
          <w:b/>
          <w:bCs/>
          <w:color w:val="D9855B"/>
          <w:sz w:val="23"/>
          <w:szCs w:val="23"/>
        </w:rPr>
        <w:t>[RE: Your Account Number (if known)]</w:t>
      </w:r>
    </w:p>
    <w:p w14:paraId="5203417F" w14:textId="3FA229CF"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I am a victim of identity theft. An identity thief used my personal information without my permission to open an account and make purchases with </w:t>
      </w:r>
      <w:r w:rsidRPr="0055110B">
        <w:rPr>
          <w:rFonts w:ascii="Times" w:eastAsia="Times New Roman" w:hAnsi="Times" w:cs="Times New Roman"/>
          <w:b/>
          <w:bCs/>
          <w:color w:val="D9855B"/>
          <w:sz w:val="23"/>
          <w:szCs w:val="23"/>
        </w:rPr>
        <w:t>[name of business where account was opened]</w:t>
      </w:r>
      <w:r w:rsidRPr="0055110B">
        <w:rPr>
          <w:rFonts w:ascii="Times" w:eastAsia="Times New Roman" w:hAnsi="Times" w:cs="Times New Roman"/>
          <w:color w:val="000000"/>
          <w:sz w:val="23"/>
          <w:szCs w:val="23"/>
        </w:rPr>
        <w:t xml:space="preserve">. This debt is not mine. I have enclosed proof of my identity and a copy of my </w:t>
      </w:r>
      <w:r w:rsidR="00EC485E">
        <w:rPr>
          <w:rFonts w:ascii="Times" w:eastAsia="Times New Roman" w:hAnsi="Times" w:cs="Times New Roman"/>
          <w:color w:val="000000"/>
          <w:sz w:val="23"/>
          <w:szCs w:val="23"/>
        </w:rPr>
        <w:t>Police</w:t>
      </w:r>
      <w:r w:rsidRPr="0055110B">
        <w:rPr>
          <w:rFonts w:ascii="Times" w:eastAsia="Times New Roman" w:hAnsi="Times" w:cs="Times New Roman"/>
          <w:color w:val="000000"/>
          <w:sz w:val="23"/>
          <w:szCs w:val="23"/>
        </w:rPr>
        <w:t xml:space="preserve"> Identity Theft Report.</w:t>
      </w:r>
    </w:p>
    <w:p w14:paraId="61F47502" w14:textId="77777777"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In accordance with the Fair Debt Collection Practices Act, I am asking you to stop collection proceedings against me and stop communicating with me about this debt, except as the Fair Credit Reporting Act allows. I also ask that you notify </w:t>
      </w:r>
      <w:r w:rsidRPr="0055110B">
        <w:rPr>
          <w:rFonts w:ascii="Times" w:eastAsia="Times New Roman" w:hAnsi="Times" w:cs="Times New Roman"/>
          <w:b/>
          <w:bCs/>
          <w:color w:val="D9855B"/>
          <w:sz w:val="23"/>
          <w:szCs w:val="23"/>
        </w:rPr>
        <w:t>[the business where the account was opened]</w:t>
      </w:r>
      <w:r w:rsidRPr="0055110B">
        <w:rPr>
          <w:rFonts w:ascii="Times" w:eastAsia="Times New Roman" w:hAnsi="Times" w:cs="Times New Roman"/>
          <w:color w:val="000000"/>
          <w:sz w:val="23"/>
          <w:szCs w:val="23"/>
        </w:rPr>
        <w:t> and tell them the debt is the result of identity theft.</w:t>
      </w:r>
    </w:p>
    <w:p w14:paraId="7A39BFB0" w14:textId="77777777" w:rsidR="0055110B" w:rsidRPr="0055110B" w:rsidRDefault="0055110B" w:rsidP="0055110B">
      <w:pPr>
        <w:shd w:val="clear" w:color="auto" w:fill="FFFFFF"/>
        <w:spacing w:after="158"/>
        <w:rPr>
          <w:rFonts w:ascii="Times" w:eastAsia="Times New Roman" w:hAnsi="Times" w:cs="Times New Roman"/>
          <w:b/>
          <w:bCs/>
          <w:color w:val="D9855B"/>
          <w:sz w:val="23"/>
          <w:szCs w:val="23"/>
        </w:rPr>
      </w:pPr>
      <w:r w:rsidRPr="0055110B">
        <w:rPr>
          <w:rFonts w:ascii="Times" w:eastAsia="Times New Roman" w:hAnsi="Times" w:cs="Times New Roman"/>
          <w:b/>
          <w:bCs/>
          <w:color w:val="D9855B"/>
          <w:sz w:val="23"/>
          <w:szCs w:val="23"/>
        </w:rPr>
        <w:t>[Provide details about what happened. Include the dates and amounts of fraudulent transactions.]</w:t>
      </w:r>
    </w:p>
    <w:p w14:paraId="147BCDB5" w14:textId="77777777"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I have enclosed a copy of the Consumer Financial Protection Bureau’s Notice to Furnishers of Information. It explains your responsibilities under the Fair Credit Reporting Act (FCRA). The FCRA requires that debt collectors give an identity theft victim documents related to an account if the victim asks. Please send me copies of all records relating to the account, including:</w:t>
      </w:r>
    </w:p>
    <w:p w14:paraId="6C8F5B83"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Account applications made on paper, online, or by telephone</w:t>
      </w:r>
    </w:p>
    <w:p w14:paraId="52B6AAB9"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Account statements or invoices</w:t>
      </w:r>
    </w:p>
    <w:p w14:paraId="44C0580B"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Records of payment or charge slips</w:t>
      </w:r>
    </w:p>
    <w:p w14:paraId="21FE79DC"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Delivery addresses associated with the account</w:t>
      </w:r>
    </w:p>
    <w:p w14:paraId="3A95BAEC"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Records of phone numbers used to activate or access the account</w:t>
      </w:r>
    </w:p>
    <w:p w14:paraId="1D30CCF3"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Signatures on applications and accounts</w:t>
      </w:r>
    </w:p>
    <w:p w14:paraId="74333840" w14:textId="77777777" w:rsidR="0055110B" w:rsidRPr="0055110B" w:rsidRDefault="0055110B" w:rsidP="0055110B">
      <w:pPr>
        <w:numPr>
          <w:ilvl w:val="0"/>
          <w:numId w:val="1"/>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Investigators report</w:t>
      </w:r>
    </w:p>
    <w:p w14:paraId="6C01F55F" w14:textId="77777777"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Please send me a letter explaining what you have done to:</w:t>
      </w:r>
    </w:p>
    <w:p w14:paraId="222F1CBF" w14:textId="77777777" w:rsidR="0055110B" w:rsidRPr="0055110B" w:rsidRDefault="0055110B" w:rsidP="0055110B">
      <w:pPr>
        <w:numPr>
          <w:ilvl w:val="0"/>
          <w:numId w:val="2"/>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Inform </w:t>
      </w:r>
      <w:r w:rsidRPr="0055110B">
        <w:rPr>
          <w:rFonts w:ascii="Times" w:eastAsia="Times New Roman" w:hAnsi="Times" w:cs="Times New Roman"/>
          <w:b/>
          <w:bCs/>
          <w:color w:val="D9855B"/>
          <w:sz w:val="23"/>
          <w:szCs w:val="23"/>
        </w:rPr>
        <w:t>[business where the account was opened]</w:t>
      </w:r>
      <w:r w:rsidRPr="0055110B">
        <w:rPr>
          <w:rFonts w:ascii="Times" w:eastAsia="Times New Roman" w:hAnsi="Times" w:cs="Times New Roman"/>
          <w:color w:val="000000"/>
          <w:sz w:val="23"/>
          <w:szCs w:val="23"/>
        </w:rPr>
        <w:t> that the debt is the result of identity theft</w:t>
      </w:r>
    </w:p>
    <w:p w14:paraId="046EA022" w14:textId="77777777" w:rsidR="0055110B" w:rsidRPr="0055110B" w:rsidRDefault="0055110B" w:rsidP="0055110B">
      <w:pPr>
        <w:numPr>
          <w:ilvl w:val="0"/>
          <w:numId w:val="2"/>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Stop collection proceedings against me</w:t>
      </w:r>
    </w:p>
    <w:p w14:paraId="2301FC8A" w14:textId="77777777" w:rsidR="0055110B" w:rsidRPr="0055110B" w:rsidRDefault="0055110B" w:rsidP="0055110B">
      <w:pPr>
        <w:numPr>
          <w:ilvl w:val="0"/>
          <w:numId w:val="2"/>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Stop reporting information about the debt to credit reporting companies</w:t>
      </w:r>
    </w:p>
    <w:p w14:paraId="1E41F8DA" w14:textId="77777777" w:rsidR="0055110B" w:rsidRPr="0055110B" w:rsidRDefault="0055110B" w:rsidP="0055110B">
      <w:pPr>
        <w:numPr>
          <w:ilvl w:val="0"/>
          <w:numId w:val="2"/>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Provide me with the records I request</w:t>
      </w:r>
    </w:p>
    <w:p w14:paraId="63F477F1" w14:textId="77777777"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Thank you for your cooperation.</w:t>
      </w:r>
    </w:p>
    <w:p w14:paraId="34AA53F5" w14:textId="77777777"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lastRenderedPageBreak/>
        <w:t>Sincerely,</w:t>
      </w:r>
      <w:r w:rsidRPr="0055110B">
        <w:rPr>
          <w:rFonts w:ascii="Times" w:eastAsia="Times New Roman" w:hAnsi="Times" w:cs="Times New Roman"/>
          <w:color w:val="000000"/>
          <w:sz w:val="23"/>
          <w:szCs w:val="23"/>
        </w:rPr>
        <w:br/>
      </w:r>
      <w:r w:rsidRPr="0055110B">
        <w:rPr>
          <w:rFonts w:ascii="Times" w:eastAsia="Times New Roman" w:hAnsi="Times" w:cs="Times New Roman"/>
          <w:b/>
          <w:bCs/>
          <w:color w:val="D9855B"/>
          <w:sz w:val="23"/>
          <w:szCs w:val="23"/>
        </w:rPr>
        <w:t>[Your Name]</w:t>
      </w:r>
    </w:p>
    <w:p w14:paraId="0563BE11" w14:textId="77777777" w:rsidR="0055110B" w:rsidRPr="0055110B" w:rsidRDefault="0055110B" w:rsidP="0055110B">
      <w:pPr>
        <w:shd w:val="clear" w:color="auto" w:fill="FFFFFF"/>
        <w:spacing w:after="158"/>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Enclosures: </w:t>
      </w:r>
      <w:r w:rsidRPr="0055110B">
        <w:rPr>
          <w:rFonts w:ascii="Times" w:eastAsia="Times New Roman" w:hAnsi="Times" w:cs="Times New Roman"/>
          <w:b/>
          <w:bCs/>
          <w:color w:val="D9855B"/>
          <w:sz w:val="23"/>
          <w:szCs w:val="23"/>
        </w:rPr>
        <w:t>[List what you are enclosing]</w:t>
      </w:r>
    </w:p>
    <w:p w14:paraId="5E7F4068" w14:textId="77777777" w:rsidR="0055110B" w:rsidRPr="0055110B" w:rsidRDefault="0055110B" w:rsidP="0055110B">
      <w:pPr>
        <w:numPr>
          <w:ilvl w:val="0"/>
          <w:numId w:val="3"/>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Identity Theft Report</w:t>
      </w:r>
    </w:p>
    <w:p w14:paraId="52D6B264" w14:textId="77777777" w:rsidR="0055110B" w:rsidRPr="0055110B" w:rsidRDefault="0055110B" w:rsidP="0055110B">
      <w:pPr>
        <w:numPr>
          <w:ilvl w:val="0"/>
          <w:numId w:val="3"/>
        </w:numPr>
        <w:shd w:val="clear" w:color="auto" w:fill="FFFFFF"/>
        <w:spacing w:before="100" w:beforeAutospacing="1" w:after="165"/>
        <w:rPr>
          <w:rFonts w:ascii="Times" w:eastAsia="Times New Roman" w:hAnsi="Times" w:cs="Times New Roman"/>
          <w:color w:val="000000"/>
          <w:sz w:val="23"/>
          <w:szCs w:val="23"/>
        </w:rPr>
      </w:pPr>
      <w:r w:rsidRPr="0055110B">
        <w:rPr>
          <w:rFonts w:ascii="Times" w:eastAsia="Times New Roman" w:hAnsi="Times" w:cs="Times New Roman"/>
          <w:color w:val="000000"/>
          <w:sz w:val="23"/>
          <w:szCs w:val="23"/>
        </w:rPr>
        <w:t>Proof of identity: </w:t>
      </w:r>
      <w:r w:rsidRPr="0055110B">
        <w:rPr>
          <w:rFonts w:ascii="Times" w:eastAsia="Times New Roman" w:hAnsi="Times" w:cs="Times New Roman"/>
          <w:b/>
          <w:bCs/>
          <w:color w:val="D9855B"/>
          <w:sz w:val="23"/>
          <w:szCs w:val="23"/>
        </w:rPr>
        <w:t>[a copy of my driver’s license/other government-issued identification card/other]</w:t>
      </w:r>
    </w:p>
    <w:p w14:paraId="14CEF52C" w14:textId="774F2314" w:rsidR="0055110B" w:rsidRPr="0055110B" w:rsidRDefault="0055110B">
      <w:pPr>
        <w:rPr>
          <w:rFonts w:ascii="Times" w:hAnsi="Times"/>
          <w:sz w:val="23"/>
          <w:szCs w:val="23"/>
        </w:rPr>
      </w:pPr>
    </w:p>
    <w:p w14:paraId="3201A53C" w14:textId="042CC917" w:rsidR="0055110B" w:rsidRPr="0055110B" w:rsidRDefault="0055110B">
      <w:pPr>
        <w:rPr>
          <w:rFonts w:ascii="Times" w:hAnsi="Times"/>
          <w:sz w:val="23"/>
          <w:szCs w:val="23"/>
        </w:rPr>
      </w:pPr>
    </w:p>
    <w:p w14:paraId="452B261C" w14:textId="2361E733" w:rsidR="0055110B" w:rsidRPr="0055110B" w:rsidRDefault="0055110B">
      <w:pPr>
        <w:rPr>
          <w:rFonts w:ascii="Times" w:hAnsi="Times"/>
          <w:sz w:val="23"/>
          <w:szCs w:val="23"/>
        </w:rPr>
      </w:pPr>
    </w:p>
    <w:p w14:paraId="7DEF5FFF" w14:textId="6342BCFC" w:rsidR="0055110B" w:rsidRPr="0055110B" w:rsidRDefault="0055110B">
      <w:pPr>
        <w:rPr>
          <w:rFonts w:ascii="Times" w:hAnsi="Times"/>
          <w:sz w:val="23"/>
          <w:szCs w:val="23"/>
        </w:rPr>
      </w:pPr>
    </w:p>
    <w:p w14:paraId="1258F96C" w14:textId="7A6570F5" w:rsidR="0055110B" w:rsidRPr="0055110B" w:rsidRDefault="0055110B">
      <w:pPr>
        <w:rPr>
          <w:rFonts w:ascii="Times" w:hAnsi="Times"/>
          <w:sz w:val="23"/>
          <w:szCs w:val="23"/>
        </w:rPr>
      </w:pPr>
    </w:p>
    <w:p w14:paraId="20AB6735" w14:textId="6AA32E00" w:rsidR="0055110B" w:rsidRPr="0055110B" w:rsidRDefault="0055110B">
      <w:pPr>
        <w:rPr>
          <w:rFonts w:ascii="Times" w:hAnsi="Times"/>
          <w:sz w:val="23"/>
          <w:szCs w:val="23"/>
        </w:rPr>
      </w:pPr>
    </w:p>
    <w:p w14:paraId="1128965C" w14:textId="5D1D1186" w:rsidR="0055110B" w:rsidRPr="0055110B" w:rsidRDefault="0055110B">
      <w:pPr>
        <w:rPr>
          <w:rFonts w:ascii="Times" w:hAnsi="Times"/>
          <w:sz w:val="23"/>
          <w:szCs w:val="23"/>
        </w:rPr>
      </w:pPr>
    </w:p>
    <w:p w14:paraId="3F36342C" w14:textId="1D7C4471" w:rsidR="0055110B" w:rsidRPr="0055110B" w:rsidRDefault="0055110B">
      <w:pPr>
        <w:rPr>
          <w:rFonts w:ascii="Times" w:hAnsi="Times"/>
          <w:sz w:val="23"/>
          <w:szCs w:val="23"/>
        </w:rPr>
      </w:pPr>
    </w:p>
    <w:p w14:paraId="435A6F54" w14:textId="7F6DBFE8" w:rsidR="0055110B" w:rsidRPr="0055110B" w:rsidRDefault="0055110B">
      <w:pPr>
        <w:rPr>
          <w:rFonts w:ascii="Times" w:hAnsi="Times"/>
          <w:sz w:val="23"/>
          <w:szCs w:val="23"/>
        </w:rPr>
      </w:pPr>
    </w:p>
    <w:p w14:paraId="306811AE" w14:textId="237B175B" w:rsidR="0055110B" w:rsidRPr="0055110B" w:rsidRDefault="0055110B">
      <w:pPr>
        <w:rPr>
          <w:rFonts w:ascii="Times" w:hAnsi="Times"/>
          <w:sz w:val="23"/>
          <w:szCs w:val="23"/>
        </w:rPr>
      </w:pPr>
    </w:p>
    <w:p w14:paraId="443BBB0D" w14:textId="4283B604" w:rsidR="0055110B" w:rsidRPr="0055110B" w:rsidRDefault="0055110B">
      <w:pPr>
        <w:rPr>
          <w:rFonts w:ascii="Times" w:hAnsi="Times"/>
          <w:sz w:val="23"/>
          <w:szCs w:val="23"/>
        </w:rPr>
      </w:pPr>
    </w:p>
    <w:p w14:paraId="51EA9E8E" w14:textId="30D18507" w:rsidR="0055110B" w:rsidRPr="0055110B" w:rsidRDefault="0055110B">
      <w:pPr>
        <w:rPr>
          <w:rFonts w:ascii="Times" w:hAnsi="Times"/>
          <w:sz w:val="23"/>
          <w:szCs w:val="23"/>
        </w:rPr>
      </w:pPr>
    </w:p>
    <w:p w14:paraId="70E93668" w14:textId="3DD91DF5" w:rsidR="0055110B" w:rsidRPr="0055110B" w:rsidRDefault="0055110B">
      <w:pPr>
        <w:rPr>
          <w:rFonts w:ascii="Times" w:hAnsi="Times"/>
          <w:sz w:val="23"/>
          <w:szCs w:val="23"/>
        </w:rPr>
      </w:pPr>
    </w:p>
    <w:p w14:paraId="4D5F0251" w14:textId="50E8ADC0" w:rsidR="0055110B" w:rsidRPr="0055110B" w:rsidRDefault="0055110B">
      <w:pPr>
        <w:rPr>
          <w:rFonts w:ascii="Times" w:hAnsi="Times"/>
          <w:sz w:val="23"/>
          <w:szCs w:val="23"/>
        </w:rPr>
      </w:pPr>
    </w:p>
    <w:p w14:paraId="095E6DCE" w14:textId="06A71D27" w:rsidR="0055110B" w:rsidRPr="0055110B" w:rsidRDefault="0055110B">
      <w:pPr>
        <w:rPr>
          <w:rFonts w:ascii="Times" w:hAnsi="Times"/>
          <w:sz w:val="23"/>
          <w:szCs w:val="23"/>
        </w:rPr>
      </w:pPr>
    </w:p>
    <w:p w14:paraId="5416262D" w14:textId="70C37159" w:rsidR="0055110B" w:rsidRPr="0055110B" w:rsidRDefault="0055110B">
      <w:pPr>
        <w:rPr>
          <w:rFonts w:ascii="Times" w:hAnsi="Times"/>
          <w:sz w:val="23"/>
          <w:szCs w:val="23"/>
        </w:rPr>
      </w:pPr>
    </w:p>
    <w:p w14:paraId="14E05DD8" w14:textId="7E7CDA57" w:rsidR="0055110B" w:rsidRPr="0055110B" w:rsidRDefault="0055110B">
      <w:pPr>
        <w:rPr>
          <w:rFonts w:ascii="Times" w:hAnsi="Times"/>
          <w:sz w:val="23"/>
          <w:szCs w:val="23"/>
        </w:rPr>
      </w:pPr>
    </w:p>
    <w:p w14:paraId="16D148A0" w14:textId="75DBCFE7" w:rsidR="0055110B" w:rsidRPr="0055110B" w:rsidRDefault="0055110B">
      <w:pPr>
        <w:rPr>
          <w:rFonts w:ascii="Times" w:hAnsi="Times"/>
          <w:sz w:val="23"/>
          <w:szCs w:val="23"/>
        </w:rPr>
      </w:pPr>
    </w:p>
    <w:p w14:paraId="0CC3D073" w14:textId="4F20853F" w:rsidR="0055110B" w:rsidRPr="0055110B" w:rsidRDefault="0055110B">
      <w:pPr>
        <w:rPr>
          <w:rFonts w:ascii="Times" w:hAnsi="Times"/>
          <w:sz w:val="23"/>
          <w:szCs w:val="23"/>
        </w:rPr>
      </w:pPr>
    </w:p>
    <w:p w14:paraId="2DA4A7F1" w14:textId="20CB8B2A" w:rsidR="0055110B" w:rsidRPr="0055110B" w:rsidRDefault="0055110B">
      <w:pPr>
        <w:rPr>
          <w:rFonts w:ascii="Times" w:hAnsi="Times"/>
          <w:sz w:val="23"/>
          <w:szCs w:val="23"/>
        </w:rPr>
      </w:pPr>
    </w:p>
    <w:p w14:paraId="3BA69017" w14:textId="7FF2A748" w:rsidR="0055110B" w:rsidRPr="0055110B" w:rsidRDefault="0055110B">
      <w:pPr>
        <w:rPr>
          <w:rFonts w:ascii="Times" w:hAnsi="Times"/>
          <w:sz w:val="23"/>
          <w:szCs w:val="23"/>
        </w:rPr>
      </w:pPr>
    </w:p>
    <w:p w14:paraId="1B0868B3" w14:textId="2CA5521A" w:rsidR="0055110B" w:rsidRPr="0055110B" w:rsidRDefault="0055110B">
      <w:pPr>
        <w:rPr>
          <w:rFonts w:ascii="Times" w:hAnsi="Times"/>
          <w:sz w:val="23"/>
          <w:szCs w:val="23"/>
        </w:rPr>
      </w:pPr>
    </w:p>
    <w:p w14:paraId="5D4B7653" w14:textId="330747E9" w:rsidR="0055110B" w:rsidRPr="0055110B" w:rsidRDefault="0055110B">
      <w:pPr>
        <w:rPr>
          <w:rFonts w:ascii="Times" w:hAnsi="Times"/>
          <w:sz w:val="23"/>
          <w:szCs w:val="23"/>
        </w:rPr>
      </w:pPr>
    </w:p>
    <w:p w14:paraId="395E95DA" w14:textId="7CA7AEB9" w:rsidR="0055110B" w:rsidRPr="0055110B" w:rsidRDefault="0055110B">
      <w:pPr>
        <w:rPr>
          <w:rFonts w:ascii="Times" w:hAnsi="Times"/>
          <w:sz w:val="23"/>
          <w:szCs w:val="23"/>
        </w:rPr>
      </w:pPr>
    </w:p>
    <w:p w14:paraId="47E6E9F0" w14:textId="00A98A69" w:rsidR="0055110B" w:rsidRPr="0055110B" w:rsidRDefault="0055110B">
      <w:pPr>
        <w:rPr>
          <w:rFonts w:ascii="Times" w:hAnsi="Times"/>
          <w:sz w:val="23"/>
          <w:szCs w:val="23"/>
        </w:rPr>
      </w:pPr>
    </w:p>
    <w:p w14:paraId="032F990B" w14:textId="540EE5A1" w:rsidR="0055110B" w:rsidRPr="0055110B" w:rsidRDefault="0055110B">
      <w:pPr>
        <w:rPr>
          <w:rFonts w:ascii="Times" w:hAnsi="Times"/>
          <w:sz w:val="23"/>
          <w:szCs w:val="23"/>
        </w:rPr>
      </w:pPr>
    </w:p>
    <w:p w14:paraId="5A8C4463" w14:textId="522874F6" w:rsidR="0055110B" w:rsidRPr="0055110B" w:rsidRDefault="0055110B">
      <w:pPr>
        <w:rPr>
          <w:rFonts w:ascii="Times" w:hAnsi="Times"/>
          <w:sz w:val="23"/>
          <w:szCs w:val="23"/>
        </w:rPr>
      </w:pPr>
    </w:p>
    <w:p w14:paraId="751BE9E4" w14:textId="62C4615A" w:rsidR="0055110B" w:rsidRPr="0055110B" w:rsidRDefault="0055110B">
      <w:pPr>
        <w:rPr>
          <w:rFonts w:ascii="Times" w:hAnsi="Times"/>
          <w:sz w:val="23"/>
          <w:szCs w:val="23"/>
        </w:rPr>
      </w:pPr>
    </w:p>
    <w:p w14:paraId="22D79E7A" w14:textId="44E76D8F" w:rsidR="0055110B" w:rsidRPr="0055110B" w:rsidRDefault="0055110B">
      <w:pPr>
        <w:rPr>
          <w:rFonts w:ascii="Times" w:hAnsi="Times"/>
          <w:sz w:val="23"/>
          <w:szCs w:val="23"/>
        </w:rPr>
      </w:pPr>
    </w:p>
    <w:p w14:paraId="7D62EC79" w14:textId="5716E2E1" w:rsidR="0055110B" w:rsidRPr="0055110B" w:rsidRDefault="0055110B">
      <w:pPr>
        <w:rPr>
          <w:rFonts w:ascii="Times" w:hAnsi="Times"/>
          <w:sz w:val="23"/>
          <w:szCs w:val="23"/>
        </w:rPr>
      </w:pPr>
    </w:p>
    <w:p w14:paraId="240AB492" w14:textId="49BE0EEB" w:rsidR="0055110B" w:rsidRPr="0055110B" w:rsidRDefault="0055110B">
      <w:pPr>
        <w:rPr>
          <w:rFonts w:ascii="Times" w:hAnsi="Times"/>
          <w:sz w:val="23"/>
          <w:szCs w:val="23"/>
        </w:rPr>
      </w:pPr>
    </w:p>
    <w:p w14:paraId="1B4F2AF6" w14:textId="472FCDD3" w:rsidR="0055110B" w:rsidRPr="0055110B" w:rsidRDefault="0055110B">
      <w:pPr>
        <w:rPr>
          <w:rFonts w:ascii="Times" w:hAnsi="Times"/>
          <w:sz w:val="23"/>
          <w:szCs w:val="23"/>
        </w:rPr>
      </w:pPr>
    </w:p>
    <w:p w14:paraId="0FF7E2CF" w14:textId="77777777" w:rsidR="0055110B" w:rsidRPr="0055110B" w:rsidRDefault="0055110B">
      <w:pPr>
        <w:rPr>
          <w:rFonts w:ascii="Times" w:hAnsi="Times"/>
          <w:sz w:val="23"/>
          <w:szCs w:val="23"/>
        </w:rPr>
      </w:pPr>
    </w:p>
    <w:p w14:paraId="5CFDDD35" w14:textId="121C131F" w:rsidR="0055110B" w:rsidRPr="0055110B" w:rsidRDefault="0055110B">
      <w:pPr>
        <w:rPr>
          <w:rFonts w:ascii="Times" w:hAnsi="Times"/>
          <w:sz w:val="23"/>
          <w:szCs w:val="23"/>
        </w:rPr>
      </w:pPr>
    </w:p>
    <w:p w14:paraId="5A165012" w14:textId="250AAB24" w:rsidR="0055110B" w:rsidRPr="0055110B" w:rsidRDefault="0055110B">
      <w:pPr>
        <w:rPr>
          <w:rFonts w:ascii="Times" w:hAnsi="Times"/>
          <w:sz w:val="23"/>
          <w:szCs w:val="23"/>
        </w:rPr>
      </w:pPr>
    </w:p>
    <w:p w14:paraId="25544D6F" w14:textId="2E2B6E7F" w:rsidR="0055110B" w:rsidRPr="0055110B" w:rsidRDefault="0055110B">
      <w:pPr>
        <w:rPr>
          <w:rFonts w:ascii="Times" w:hAnsi="Times"/>
          <w:sz w:val="23"/>
          <w:szCs w:val="23"/>
        </w:rPr>
      </w:pPr>
    </w:p>
    <w:p w14:paraId="533AC970" w14:textId="114EBC96" w:rsidR="0055110B" w:rsidRPr="0055110B" w:rsidRDefault="0055110B">
      <w:pPr>
        <w:rPr>
          <w:rFonts w:ascii="Times" w:hAnsi="Times"/>
          <w:sz w:val="23"/>
          <w:szCs w:val="23"/>
        </w:rPr>
      </w:pPr>
    </w:p>
    <w:p w14:paraId="21E41C3C" w14:textId="40BEC9BF" w:rsidR="0055110B" w:rsidRDefault="0055110B" w:rsidP="0055110B">
      <w:pPr>
        <w:rPr>
          <w:rFonts w:ascii="Times" w:eastAsia="Times New Roman" w:hAnsi="Times" w:cs="Times New Roman"/>
          <w:sz w:val="23"/>
          <w:szCs w:val="23"/>
        </w:rPr>
      </w:pPr>
    </w:p>
    <w:p w14:paraId="724E7D66" w14:textId="77777777" w:rsidR="0055110B" w:rsidRPr="0055110B" w:rsidRDefault="0055110B" w:rsidP="0055110B">
      <w:pPr>
        <w:rPr>
          <w:rFonts w:ascii="Times" w:eastAsia="Times New Roman" w:hAnsi="Times" w:cs="Times New Roman"/>
          <w:sz w:val="23"/>
          <w:szCs w:val="23"/>
        </w:rPr>
      </w:pPr>
    </w:p>
    <w:p w14:paraId="1785443F" w14:textId="3879EBE9" w:rsidR="0055110B" w:rsidRPr="0055110B" w:rsidRDefault="0055110B" w:rsidP="0055110B">
      <w:pPr>
        <w:jc w:val="center"/>
        <w:rPr>
          <w:rFonts w:ascii="Times" w:eastAsia="Times New Roman" w:hAnsi="Times" w:cs="Times New Roman"/>
          <w:sz w:val="23"/>
          <w:szCs w:val="23"/>
        </w:rPr>
      </w:pPr>
      <w:r w:rsidRPr="0055110B">
        <w:rPr>
          <w:rFonts w:ascii="Times" w:eastAsia="Times New Roman" w:hAnsi="Times" w:cs="Times New Roman"/>
          <w:sz w:val="23"/>
          <w:szCs w:val="23"/>
        </w:rPr>
        <w:t>FCRA</w:t>
      </w:r>
    </w:p>
    <w:p w14:paraId="385C1C84" w14:textId="77777777" w:rsidR="0055110B" w:rsidRPr="0055110B" w:rsidRDefault="0055110B" w:rsidP="0055110B">
      <w:pPr>
        <w:jc w:val="center"/>
        <w:rPr>
          <w:rFonts w:ascii="Times" w:eastAsia="Times New Roman" w:hAnsi="Times" w:cs="Times New Roman"/>
          <w:sz w:val="23"/>
          <w:szCs w:val="23"/>
        </w:rPr>
      </w:pPr>
    </w:p>
    <w:p w14:paraId="243D3D73" w14:textId="471BFB52"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All furnishers of consumer reports must comply with all applicable regulations, including regulations promulgated after this notice was first prescribed in 2004. Information about applicable regulations currently in effect can be found at the Consumer Financial Protection Bureau's website, consumerfinance.gov/learnmore. </w:t>
      </w:r>
    </w:p>
    <w:p w14:paraId="13A82620" w14:textId="77777777" w:rsidR="0055110B" w:rsidRPr="0055110B" w:rsidRDefault="0055110B" w:rsidP="0055110B">
      <w:pPr>
        <w:rPr>
          <w:rFonts w:ascii="Times" w:eastAsia="Times New Roman" w:hAnsi="Times" w:cs="Times New Roman"/>
          <w:b/>
          <w:bCs/>
          <w:sz w:val="23"/>
          <w:szCs w:val="23"/>
        </w:rPr>
      </w:pPr>
    </w:p>
    <w:p w14:paraId="76794EB1" w14:textId="117B42F1"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NOTICE TO FURNISHERS OF INFORMATION: OBLIGATIONS OF FURNISHERS UNDER THE FCRA </w:t>
      </w:r>
    </w:p>
    <w:p w14:paraId="40C3C781" w14:textId="77777777" w:rsidR="0055110B" w:rsidRPr="0055110B" w:rsidRDefault="0055110B" w:rsidP="0055110B">
      <w:pPr>
        <w:rPr>
          <w:rFonts w:ascii="Times" w:eastAsia="Times New Roman" w:hAnsi="Times" w:cs="Times New Roman"/>
          <w:sz w:val="23"/>
          <w:szCs w:val="23"/>
        </w:rPr>
      </w:pPr>
    </w:p>
    <w:p w14:paraId="1B177F57"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The federal Fair Credit Reporting Act (FCRA), 15 U.S.C. § 1681-1681y, imposes responsibilities on all persons who furnish information to consumer reporting agencies (CRAs). These responsibilities are found in Section 623 of the FCRA, 15 U.S.C. § 1681s-2. State law may impose additional requirements on furnishers. All furnishers of information to CRAs should become familiar with the applicable laws and may want to consult with their counsel to ensure that they </w:t>
      </w:r>
      <w:proofErr w:type="gramStart"/>
      <w:r w:rsidRPr="0055110B">
        <w:rPr>
          <w:rFonts w:ascii="Times" w:eastAsia="Times New Roman" w:hAnsi="Times" w:cs="Times New Roman"/>
          <w:sz w:val="23"/>
          <w:szCs w:val="23"/>
        </w:rPr>
        <w:t>are in compliance</w:t>
      </w:r>
      <w:proofErr w:type="gramEnd"/>
      <w:r w:rsidRPr="0055110B">
        <w:rPr>
          <w:rFonts w:ascii="Times" w:eastAsia="Times New Roman" w:hAnsi="Times" w:cs="Times New Roman"/>
          <w:sz w:val="23"/>
          <w:szCs w:val="23"/>
        </w:rPr>
        <w:t xml:space="preserve">. The text of the FCRA is set forth in full at the Bureau of Consumer Financial Protection's website at consumerfinance.gov/learnmore. A list of the sections of the FCRA cross-referenced to the U.S. Code is at the end of this document. </w:t>
      </w:r>
    </w:p>
    <w:p w14:paraId="28424E0C" w14:textId="12B8F190"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Section 623 imposes the following duties: </w:t>
      </w:r>
    </w:p>
    <w:p w14:paraId="5C17D490" w14:textId="77777777" w:rsidR="0055110B" w:rsidRPr="0055110B" w:rsidRDefault="0055110B" w:rsidP="0055110B">
      <w:pPr>
        <w:rPr>
          <w:rFonts w:ascii="Times" w:eastAsia="Times New Roman" w:hAnsi="Times" w:cs="Times New Roman"/>
          <w:b/>
          <w:bCs/>
          <w:sz w:val="23"/>
          <w:szCs w:val="23"/>
        </w:rPr>
      </w:pPr>
    </w:p>
    <w:p w14:paraId="268683CE"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Accuracy Guidelines </w:t>
      </w:r>
    </w:p>
    <w:p w14:paraId="1ABEAF83" w14:textId="16B3C5E3"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The banking and credit union regulators and the CFPB will promulgate guidelines and regulations dealing with the accuracy of information provided to CRAs by furnishers. The regulations and guidelines issued by the CFPB will be available at consumerfinance.gov/learnmore when they are issued. Section 623(e). </w:t>
      </w:r>
    </w:p>
    <w:p w14:paraId="09BB44AC" w14:textId="77777777" w:rsidR="0055110B" w:rsidRPr="0055110B" w:rsidRDefault="0055110B" w:rsidP="0055110B">
      <w:pPr>
        <w:rPr>
          <w:rFonts w:ascii="Times" w:eastAsia="Times New Roman" w:hAnsi="Times" w:cs="Times New Roman"/>
          <w:b/>
          <w:bCs/>
          <w:sz w:val="23"/>
          <w:szCs w:val="23"/>
        </w:rPr>
      </w:pPr>
    </w:p>
    <w:p w14:paraId="1BB55613"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General Prohibition on Reporting Inaccurate Information </w:t>
      </w:r>
    </w:p>
    <w:p w14:paraId="51DC2B54" w14:textId="067714C1"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The FCRA prohibits information furnishers from providing information to a CRA that they know or have reasonable cause to believe is inaccurate. However, the furnisher is not subject to this general prohibition if it clearly and conspicuously specifies an address to which consumers may write to notify the furnisher that certain information is inaccurate. Sections 623(a)(1)(A) and (a)(1)(C). </w:t>
      </w:r>
    </w:p>
    <w:p w14:paraId="2163DE6C" w14:textId="77777777" w:rsidR="0055110B" w:rsidRPr="0055110B" w:rsidRDefault="0055110B" w:rsidP="0055110B">
      <w:pPr>
        <w:rPr>
          <w:rFonts w:ascii="Times" w:eastAsia="Times New Roman" w:hAnsi="Times" w:cs="Times New Roman"/>
          <w:sz w:val="23"/>
          <w:szCs w:val="23"/>
        </w:rPr>
      </w:pPr>
    </w:p>
    <w:p w14:paraId="40068DB4"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Duty to Correct and Update Information </w:t>
      </w:r>
    </w:p>
    <w:p w14:paraId="53F72EFA" w14:textId="305F2222"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If at any time a person who regularly and in the ordinary course of business furnishes information to one or more CRAs determines that the information provided is not complete or accurate, the furnisher must promptly provide complete and accurate information to the CRA. In addition, the furnisher must notify all CRAs that received the information of any corrections and must thereafter report only the complete and accurate information. Section 623(a)(2). </w:t>
      </w:r>
    </w:p>
    <w:p w14:paraId="3078D184" w14:textId="77777777" w:rsidR="0055110B" w:rsidRPr="0055110B" w:rsidRDefault="0055110B" w:rsidP="0055110B">
      <w:pPr>
        <w:rPr>
          <w:rFonts w:ascii="Times" w:eastAsia="Times New Roman" w:hAnsi="Times" w:cs="Times New Roman"/>
          <w:sz w:val="23"/>
          <w:szCs w:val="23"/>
        </w:rPr>
      </w:pPr>
    </w:p>
    <w:p w14:paraId="7C5A2755"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Duties After Notice of Dispute from Consumer </w:t>
      </w:r>
    </w:p>
    <w:p w14:paraId="0D595E6B"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If a consumer notifies a furnisher, at an address specified by the furnisher for such notices, that specific information is inaccurate, and the information is, in fact, inaccurate, the furnisher must thereafter report the correct information to CRAs. Section 623(a)(1)(B). </w:t>
      </w:r>
    </w:p>
    <w:p w14:paraId="4FBB653D" w14:textId="77777777" w:rsidR="0055110B" w:rsidRPr="0055110B" w:rsidRDefault="0055110B" w:rsidP="0055110B">
      <w:pPr>
        <w:rPr>
          <w:rFonts w:ascii="Times" w:eastAsia="Times New Roman" w:hAnsi="Times" w:cs="Times New Roman"/>
          <w:sz w:val="23"/>
          <w:szCs w:val="23"/>
        </w:rPr>
      </w:pPr>
    </w:p>
    <w:p w14:paraId="02915A46"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If a consumer notifies a furnisher that the consumer disputes the completeness or accuracy of any information reported by the furnisher, the furnisher may not subsequently report that information to a CRA without providing notice of the dispute. Section 623(a)(3). </w:t>
      </w:r>
    </w:p>
    <w:p w14:paraId="5CE354BD"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The federal banking and credit union regulators and the CFPB will issue regulations that will identify when an information furnisher must investigate a dispute made directly to the furnisher by a consumer. Once these regulations are issued, furnishers must comply with them and complete an </w:t>
      </w:r>
      <w:r w:rsidRPr="0055110B">
        <w:rPr>
          <w:rFonts w:ascii="Times" w:eastAsia="Times New Roman" w:hAnsi="Times" w:cs="Times New Roman"/>
          <w:sz w:val="23"/>
          <w:szCs w:val="23"/>
        </w:rPr>
        <w:lastRenderedPageBreak/>
        <w:t xml:space="preserve">investigation within 30 days (or 45 </w:t>
      </w:r>
      <w:proofErr w:type="gramStart"/>
      <w:r w:rsidRPr="0055110B">
        <w:rPr>
          <w:rFonts w:ascii="Times" w:eastAsia="Times New Roman" w:hAnsi="Times" w:cs="Times New Roman"/>
          <w:sz w:val="23"/>
          <w:szCs w:val="23"/>
        </w:rPr>
        <w:t>days, if</w:t>
      </w:r>
      <w:proofErr w:type="gramEnd"/>
      <w:r w:rsidRPr="0055110B">
        <w:rPr>
          <w:rFonts w:ascii="Times" w:eastAsia="Times New Roman" w:hAnsi="Times" w:cs="Times New Roman"/>
          <w:sz w:val="23"/>
          <w:szCs w:val="23"/>
        </w:rPr>
        <w:t xml:space="preserve"> the consumer later provides relevant additional information) unless the dispute is frivolous or irrelevant or comes from a “credit repair organization.” The CFPB regulations will be available at consumerfinance.gov. Section 623(a)(8). </w:t>
      </w:r>
    </w:p>
    <w:p w14:paraId="0859CAEE" w14:textId="77777777" w:rsidR="0055110B" w:rsidRPr="0055110B" w:rsidRDefault="0055110B" w:rsidP="0055110B">
      <w:pPr>
        <w:rPr>
          <w:rFonts w:ascii="Times" w:eastAsia="Times New Roman" w:hAnsi="Times" w:cs="Times New Roman"/>
          <w:sz w:val="23"/>
          <w:szCs w:val="23"/>
        </w:rPr>
      </w:pPr>
    </w:p>
    <w:p w14:paraId="387CE87F"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Duties After Notice of Dispute from Consumer Reporting Agency </w:t>
      </w:r>
    </w:p>
    <w:p w14:paraId="5BA6A08F"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If a CRA notifies a furnisher that a consumer disputes the completeness or accuracy of information provided by the furnisher, the furnisher has a duty to follow certain procedures. The furnisher must:</w:t>
      </w:r>
    </w:p>
    <w:p w14:paraId="6886B1C2"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 • Conduct an investigation and review all relevant information provided by the CRA, including information given to the CRA by the consumer. Sections 623(b)(1)(A) and (b)(1)(B). </w:t>
      </w:r>
    </w:p>
    <w:p w14:paraId="46648C18"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 Report the results to the CRA that referred the dispute, and, if the investigation establishes that the information was, in fact, incomplete or inaccurate, report the results to all CRAs to which the furnisher provided the information that compile and maintain files on a nationwide basis. Sections 623(b)(1)(C) and (b)(1)(D). </w:t>
      </w:r>
    </w:p>
    <w:p w14:paraId="55B75139"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 Complete the above steps within 30 days from the date the CRA receives the dispute (or 45 </w:t>
      </w:r>
      <w:proofErr w:type="gramStart"/>
      <w:r w:rsidRPr="0055110B">
        <w:rPr>
          <w:rFonts w:ascii="Times" w:eastAsia="Times New Roman" w:hAnsi="Times" w:cs="Times New Roman"/>
          <w:sz w:val="23"/>
          <w:szCs w:val="23"/>
        </w:rPr>
        <w:t>days, if</w:t>
      </w:r>
      <w:proofErr w:type="gramEnd"/>
      <w:r w:rsidRPr="0055110B">
        <w:rPr>
          <w:rFonts w:ascii="Times" w:eastAsia="Times New Roman" w:hAnsi="Times" w:cs="Times New Roman"/>
          <w:sz w:val="23"/>
          <w:szCs w:val="23"/>
        </w:rPr>
        <w:t xml:space="preserve"> the consumer later provides relevant additional information to the CRA). Section 623(b)(2). </w:t>
      </w:r>
    </w:p>
    <w:p w14:paraId="1A2D57EE" w14:textId="722781A6"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 Promptly modify or delete the information or block its reporting. Section 623(b)(1)(E). </w:t>
      </w:r>
    </w:p>
    <w:p w14:paraId="1BAF467B" w14:textId="77777777" w:rsidR="0055110B" w:rsidRPr="0055110B" w:rsidRDefault="0055110B" w:rsidP="0055110B">
      <w:pPr>
        <w:rPr>
          <w:rFonts w:ascii="Times" w:eastAsia="Times New Roman" w:hAnsi="Times" w:cs="Times New Roman"/>
          <w:b/>
          <w:bCs/>
          <w:sz w:val="23"/>
          <w:szCs w:val="23"/>
        </w:rPr>
      </w:pPr>
    </w:p>
    <w:p w14:paraId="394878AD"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Duty to Report Voluntary Closing of Credit Accounts</w:t>
      </w:r>
    </w:p>
    <w:p w14:paraId="3369234A" w14:textId="2C4A4F8D"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If a consumer voluntarily closes a credit account, any person who regularly and in the ordinary course of business furnishes information to one or more CRAs must report this fact when it provides information to CRAs for the time period in which the account was closed. Section 623(a)(4). </w:t>
      </w:r>
    </w:p>
    <w:p w14:paraId="171555F4" w14:textId="77777777" w:rsidR="0055110B" w:rsidRPr="0055110B" w:rsidRDefault="0055110B" w:rsidP="0055110B">
      <w:pPr>
        <w:rPr>
          <w:rFonts w:ascii="Times" w:eastAsia="Times New Roman" w:hAnsi="Times" w:cs="Times New Roman"/>
          <w:b/>
          <w:bCs/>
          <w:sz w:val="23"/>
          <w:szCs w:val="23"/>
        </w:rPr>
      </w:pPr>
    </w:p>
    <w:p w14:paraId="15E14726"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Duty to Report Dates of Delinquencies </w:t>
      </w:r>
    </w:p>
    <w:p w14:paraId="283A7BDA"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If a furnisher reports information concerning a delinquent account placed for collection, charged to profit or loss, or subject to any similar action, the furnisher must, within 90 days after reporting the information, provide the CRA with the month and the year of the commencement of the delinquency that immediately preceded the action, so that the agency will know how long to keep the information in the consumer's file. Section 623(a)(5). </w:t>
      </w:r>
    </w:p>
    <w:p w14:paraId="3F18881B" w14:textId="77777777" w:rsidR="0055110B" w:rsidRPr="0055110B" w:rsidRDefault="0055110B" w:rsidP="0055110B">
      <w:pPr>
        <w:rPr>
          <w:rFonts w:ascii="Times" w:eastAsia="Times New Roman" w:hAnsi="Times" w:cs="Times New Roman"/>
          <w:sz w:val="23"/>
          <w:szCs w:val="23"/>
        </w:rPr>
      </w:pPr>
    </w:p>
    <w:p w14:paraId="0DE3CE28"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Any person, such as a debt collector, that has acquired or is responsible for collecting delinquent accounts and that reports information to CRAs may comply with the requirements of Section 623(a)(5) (until there is a consumer dispute) by reporting the same delinquency date previously reported by the creditor. If the creditor did not report this date, they may comply with the FCRA by establishing reasonable procedures to obtain and report delinquency dates, or, if a delinquency date cannot be reasonably obtained, by following reasonable procedures to ensure that the date reported precedes the date when the account was placed for collection, charged to profit or loss, or subjected to any similar action. Section 623(a)(5). </w:t>
      </w:r>
    </w:p>
    <w:p w14:paraId="016738B2" w14:textId="77777777" w:rsidR="0055110B" w:rsidRPr="0055110B" w:rsidRDefault="0055110B" w:rsidP="0055110B">
      <w:pPr>
        <w:rPr>
          <w:rFonts w:ascii="Times" w:eastAsia="Times New Roman" w:hAnsi="Times" w:cs="Times New Roman"/>
          <w:sz w:val="23"/>
          <w:szCs w:val="23"/>
        </w:rPr>
      </w:pPr>
    </w:p>
    <w:p w14:paraId="64B8A922"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Duties of Financial Institutions When Reporting Negative Information </w:t>
      </w:r>
    </w:p>
    <w:p w14:paraId="1C71B706"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Financial institutions that furnish information to “nationwide” consumer reporting agencies, as defined in Section 603(p), must notify consumers in writing if they may furnish or have furnished negative information to a CRA. Section 623(a)(7). The Consumer Financial Protection Bureau has prescribed model disclosures, 12 CFR Part 1022, App. B. </w:t>
      </w:r>
    </w:p>
    <w:p w14:paraId="4AE1CCA5" w14:textId="77777777" w:rsidR="0055110B" w:rsidRPr="0055110B" w:rsidRDefault="0055110B" w:rsidP="0055110B">
      <w:pPr>
        <w:rPr>
          <w:rFonts w:ascii="Times" w:eastAsia="Times New Roman" w:hAnsi="Times" w:cs="Times New Roman"/>
          <w:b/>
          <w:bCs/>
          <w:sz w:val="23"/>
          <w:szCs w:val="23"/>
        </w:rPr>
      </w:pPr>
    </w:p>
    <w:p w14:paraId="3F06D7A3"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Duties When Furnishing Medical Information </w:t>
      </w:r>
    </w:p>
    <w:p w14:paraId="73BEB36D"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A furnisher whose primary business is providing medical services, products, or devices (and such furnisher's agents or assignees) is a medical information furnisher for the purposes of the FCRA and must notify all CRAs to which it reports of this fact. Section 623(a)(9). This notice will enable CRAs to comply with their duties under Section 604(g) when reporting medical information. </w:t>
      </w:r>
    </w:p>
    <w:p w14:paraId="04FD1120" w14:textId="77777777" w:rsidR="0055110B" w:rsidRPr="0055110B" w:rsidRDefault="0055110B" w:rsidP="0055110B">
      <w:pPr>
        <w:rPr>
          <w:rFonts w:ascii="Times" w:eastAsia="Times New Roman" w:hAnsi="Times" w:cs="Times New Roman"/>
          <w:b/>
          <w:bCs/>
          <w:sz w:val="23"/>
          <w:szCs w:val="23"/>
        </w:rPr>
      </w:pPr>
    </w:p>
    <w:p w14:paraId="75BC5330" w14:textId="77777777" w:rsidR="0055110B" w:rsidRPr="0055110B" w:rsidRDefault="0055110B" w:rsidP="0055110B">
      <w:pPr>
        <w:rPr>
          <w:rFonts w:ascii="Times" w:eastAsia="Times New Roman" w:hAnsi="Times" w:cs="Times New Roman"/>
          <w:b/>
          <w:bCs/>
          <w:sz w:val="23"/>
          <w:szCs w:val="23"/>
        </w:rPr>
      </w:pPr>
      <w:r w:rsidRPr="0055110B">
        <w:rPr>
          <w:rFonts w:ascii="Times" w:eastAsia="Times New Roman" w:hAnsi="Times" w:cs="Times New Roman"/>
          <w:b/>
          <w:bCs/>
          <w:sz w:val="23"/>
          <w:szCs w:val="23"/>
        </w:rPr>
        <w:t xml:space="preserve">Duties when ID Theft Occurs </w:t>
      </w:r>
    </w:p>
    <w:p w14:paraId="55C8F5A3"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All furnishers must have in place reasonable procedures to respond to notifications from CRAs that information furnished is the result of identity theft, and to prevent refurnishing the information in the future. A furnisher may not furnish information that a consumer has identified as resulting from identity theft unless the furnisher subsequently knows or is informed by the consumer that the information is correct. Section 623(a)(6). If a furnisher learns that it has furnished inaccurate information due to identity theft, it must notify each consumer reporting agency of the correct information and must thereafter report only complete and accurate information. Section 623(a)(2). When any furnisher of information is notified pursuant to the procedures set forth in Section 605B that a debt has resulted from identity theft, the furnisher may not sell, transfer, or place for collection the debt except in certain limited circumstances. Section 615(f). </w:t>
      </w:r>
    </w:p>
    <w:p w14:paraId="04E69A94" w14:textId="77777777" w:rsidR="0055110B" w:rsidRPr="0055110B" w:rsidRDefault="0055110B" w:rsidP="0055110B">
      <w:pPr>
        <w:rPr>
          <w:rFonts w:ascii="Times" w:eastAsia="Times New Roman" w:hAnsi="Times" w:cs="Times New Roman"/>
          <w:sz w:val="23"/>
          <w:szCs w:val="23"/>
        </w:rPr>
      </w:pPr>
    </w:p>
    <w:p w14:paraId="225629CB" w14:textId="77777777" w:rsidR="0055110B" w:rsidRPr="0055110B" w:rsidRDefault="0055110B" w:rsidP="0055110B">
      <w:pPr>
        <w:rPr>
          <w:rFonts w:ascii="Times" w:eastAsia="Times New Roman" w:hAnsi="Times" w:cs="Times New Roman"/>
          <w:sz w:val="23"/>
          <w:szCs w:val="23"/>
        </w:rPr>
      </w:pPr>
      <w:r w:rsidRPr="0055110B">
        <w:rPr>
          <w:rFonts w:ascii="Times" w:eastAsia="Times New Roman" w:hAnsi="Times" w:cs="Times New Roman"/>
          <w:sz w:val="23"/>
          <w:szCs w:val="23"/>
        </w:rPr>
        <w:t xml:space="preserve">The Consumer Financial Protection Bureau website, consumerfinance.gov/learnmore, has more information about the FCRA. </w:t>
      </w:r>
    </w:p>
    <w:p w14:paraId="0BF3D179" w14:textId="77777777" w:rsidR="0055110B" w:rsidRPr="0055110B" w:rsidRDefault="0055110B" w:rsidP="0055110B">
      <w:pPr>
        <w:rPr>
          <w:rFonts w:ascii="Times" w:eastAsia="Times New Roman" w:hAnsi="Times" w:cs="Times New Roman"/>
          <w:b/>
          <w:bCs/>
          <w:sz w:val="23"/>
          <w:szCs w:val="23"/>
        </w:rPr>
      </w:pPr>
    </w:p>
    <w:p w14:paraId="51CB63DF" w14:textId="02C34598" w:rsidR="0055110B" w:rsidRPr="0055110B" w:rsidRDefault="0055110B">
      <w:pPr>
        <w:rPr>
          <w:rFonts w:ascii="Times" w:hAnsi="Times"/>
          <w:sz w:val="23"/>
          <w:szCs w:val="23"/>
        </w:rPr>
      </w:pPr>
    </w:p>
    <w:p w14:paraId="18519B0F" w14:textId="0DB642D4" w:rsidR="0055110B" w:rsidRPr="0055110B" w:rsidRDefault="0055110B">
      <w:pPr>
        <w:rPr>
          <w:rFonts w:ascii="Times" w:hAnsi="Times"/>
          <w:sz w:val="23"/>
          <w:szCs w:val="23"/>
        </w:rPr>
      </w:pPr>
    </w:p>
    <w:p w14:paraId="242E8839" w14:textId="282CB7F1" w:rsidR="0055110B" w:rsidRPr="0055110B" w:rsidRDefault="0055110B">
      <w:pPr>
        <w:rPr>
          <w:rFonts w:ascii="Times" w:hAnsi="Times"/>
          <w:sz w:val="23"/>
          <w:szCs w:val="23"/>
        </w:rPr>
      </w:pPr>
    </w:p>
    <w:p w14:paraId="56996C18" w14:textId="56D4C2DD" w:rsidR="0055110B" w:rsidRPr="0055110B" w:rsidRDefault="0055110B">
      <w:pPr>
        <w:rPr>
          <w:rFonts w:ascii="Times" w:hAnsi="Times"/>
          <w:sz w:val="23"/>
          <w:szCs w:val="23"/>
        </w:rPr>
      </w:pPr>
    </w:p>
    <w:p w14:paraId="3B447293" w14:textId="77777777" w:rsidR="0055110B" w:rsidRPr="0055110B" w:rsidRDefault="0055110B">
      <w:pPr>
        <w:rPr>
          <w:rFonts w:ascii="Times" w:hAnsi="Times"/>
          <w:sz w:val="23"/>
          <w:szCs w:val="23"/>
        </w:rPr>
      </w:pPr>
    </w:p>
    <w:sectPr w:rsidR="0055110B" w:rsidRPr="00551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F27"/>
    <w:multiLevelType w:val="multilevel"/>
    <w:tmpl w:val="574E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B1931"/>
    <w:multiLevelType w:val="multilevel"/>
    <w:tmpl w:val="328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965CB"/>
    <w:multiLevelType w:val="multilevel"/>
    <w:tmpl w:val="AD1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023898">
    <w:abstractNumId w:val="0"/>
  </w:num>
  <w:num w:numId="2" w16cid:durableId="1537622753">
    <w:abstractNumId w:val="1"/>
  </w:num>
  <w:num w:numId="3" w16cid:durableId="1794202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0B"/>
    <w:rsid w:val="0055110B"/>
    <w:rsid w:val="007F5CE0"/>
    <w:rsid w:val="00EC485E"/>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56A6"/>
  <w15:chartTrackingRefBased/>
  <w15:docId w15:val="{D1147D32-0A2D-3A41-8E8C-A834B914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
    <w:name w:val="highlight"/>
    <w:basedOn w:val="Normal"/>
    <w:rsid w:val="0055110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5110B"/>
    <w:pPr>
      <w:spacing w:before="100" w:beforeAutospacing="1" w:after="100" w:afterAutospacing="1"/>
    </w:pPr>
    <w:rPr>
      <w:rFonts w:ascii="Times New Roman" w:eastAsia="Times New Roman" w:hAnsi="Times New Roman" w:cs="Times New Roman"/>
    </w:rPr>
  </w:style>
  <w:style w:type="character" w:customStyle="1" w:styleId="highlight1">
    <w:name w:val="highlight1"/>
    <w:basedOn w:val="DefaultParagraphFont"/>
    <w:rsid w:val="0055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1960">
      <w:bodyDiv w:val="1"/>
      <w:marLeft w:val="0"/>
      <w:marRight w:val="0"/>
      <w:marTop w:val="0"/>
      <w:marBottom w:val="0"/>
      <w:divBdr>
        <w:top w:val="none" w:sz="0" w:space="0" w:color="auto"/>
        <w:left w:val="none" w:sz="0" w:space="0" w:color="auto"/>
        <w:bottom w:val="none" w:sz="0" w:space="0" w:color="auto"/>
        <w:right w:val="none" w:sz="0" w:space="0" w:color="auto"/>
      </w:divBdr>
    </w:div>
    <w:div w:id="4670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Agency Dispute Letter</dc:title>
  <dc:subject/>
  <dc:creator/>
  <cp:keywords/>
  <dc:description/>
  <cp:lastModifiedBy>Bartholomew, David</cp:lastModifiedBy>
  <cp:revision>4</cp:revision>
  <dcterms:created xsi:type="dcterms:W3CDTF">2023-09-11T22:10:00Z</dcterms:created>
  <dcterms:modified xsi:type="dcterms:W3CDTF">2024-09-13T00:55:00Z</dcterms:modified>
</cp:coreProperties>
</file>